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5437" w14:textId="77777777" w:rsidR="00C21BE7" w:rsidRPr="00BF20A2" w:rsidRDefault="00C21BE7" w:rsidP="00BF20A2">
      <w:pPr>
        <w:pStyle w:val="Overskrift1"/>
        <w:framePr w:w="7140" w:wrap="around" w:x="2904" w:y="1153"/>
        <w:jc w:val="left"/>
        <w:rPr>
          <w:rFonts w:ascii="Arial" w:hAnsi="Arial"/>
          <w:sz w:val="44"/>
          <w:szCs w:val="44"/>
        </w:rPr>
      </w:pPr>
      <w:r w:rsidRPr="00BF20A2">
        <w:rPr>
          <w:rFonts w:ascii="Arial" w:hAnsi="Arial"/>
          <w:sz w:val="44"/>
          <w:szCs w:val="44"/>
        </w:rPr>
        <w:t xml:space="preserve">Lillehammer </w:t>
      </w:r>
      <w:r w:rsidR="00CE7EB2" w:rsidRPr="00BF20A2">
        <w:rPr>
          <w:rFonts w:ascii="Arial" w:hAnsi="Arial"/>
          <w:sz w:val="44"/>
          <w:szCs w:val="44"/>
        </w:rPr>
        <w:t>Region</w:t>
      </w:r>
      <w:r w:rsidRPr="00BF20A2">
        <w:rPr>
          <w:rFonts w:ascii="Arial" w:hAnsi="Arial"/>
          <w:sz w:val="44"/>
          <w:szCs w:val="44"/>
        </w:rPr>
        <w:t xml:space="preserve"> brannvesen</w:t>
      </w:r>
    </w:p>
    <w:p w14:paraId="2D31AC28" w14:textId="77777777" w:rsidR="00C21BE7" w:rsidRDefault="00C21BE7">
      <w:pPr>
        <w:jc w:val="center"/>
      </w:pPr>
    </w:p>
    <w:p w14:paraId="65A63CD7" w14:textId="77777777" w:rsidR="00C21BE7" w:rsidRDefault="00C21BE7">
      <w:pPr>
        <w:jc w:val="center"/>
        <w:rPr>
          <w:sz w:val="20"/>
        </w:rPr>
      </w:pPr>
    </w:p>
    <w:p w14:paraId="48778413" w14:textId="76555118" w:rsidR="00C21BE7" w:rsidRDefault="00C21BE7">
      <w:pPr>
        <w:rPr>
          <w:rFonts w:ascii="Arial" w:hAnsi="Arial"/>
          <w:sz w:val="20"/>
        </w:rPr>
      </w:pPr>
      <w:bookmarkStart w:id="0" w:name="FIRMA"/>
      <w:bookmarkStart w:id="1" w:name="GRAFIKK1"/>
      <w:bookmarkEnd w:id="0"/>
      <w:bookmarkEnd w:id="1"/>
    </w:p>
    <w:p w14:paraId="42150C11" w14:textId="77777777" w:rsidR="001D328B" w:rsidRDefault="001D328B">
      <w:pPr>
        <w:rPr>
          <w:rFonts w:ascii="Arial" w:hAnsi="Arial"/>
          <w:sz w:val="20"/>
        </w:rPr>
      </w:pPr>
    </w:p>
    <w:p w14:paraId="2C1298CE" w14:textId="77777777" w:rsidR="00C21BE7" w:rsidRDefault="00C21BE7">
      <w:pPr>
        <w:rPr>
          <w:rFonts w:ascii="Arial" w:hAnsi="Arial"/>
          <w:sz w:val="20"/>
        </w:rPr>
      </w:pPr>
      <w:bookmarkStart w:id="2" w:name="GRAFIKK2"/>
      <w:bookmarkEnd w:id="2"/>
    </w:p>
    <w:p w14:paraId="607CF0C0" w14:textId="77777777" w:rsidR="00F36B90" w:rsidRDefault="00F36B90">
      <w:pPr>
        <w:rPr>
          <w:rFonts w:ascii="Arial" w:hAnsi="Arial"/>
          <w:sz w:val="20"/>
        </w:rPr>
      </w:pPr>
    </w:p>
    <w:p w14:paraId="342CCE64" w14:textId="77777777" w:rsidR="00F36B90" w:rsidRDefault="00F36B90">
      <w:pPr>
        <w:rPr>
          <w:rFonts w:ascii="Arial" w:hAnsi="Arial"/>
          <w:sz w:val="20"/>
        </w:rPr>
      </w:pPr>
    </w:p>
    <w:p w14:paraId="35F6A799" w14:textId="77777777" w:rsidR="00C21BE7" w:rsidRDefault="00C21BE7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</w:tblGrid>
      <w:tr w:rsidR="00C75B1C" w14:paraId="55EB3E4E" w14:textId="77777777">
        <w:tc>
          <w:tcPr>
            <w:tcW w:w="2516" w:type="dxa"/>
          </w:tcPr>
          <w:p w14:paraId="5288672E" w14:textId="77777777" w:rsidR="00C75B1C" w:rsidRDefault="00C75B1C" w:rsidP="001D328B">
            <w:pPr>
              <w:framePr w:w="2730" w:h="154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bookmarkStart w:id="3" w:name="OVERSKRIFT"/>
            <w:bookmarkEnd w:id="3"/>
            <w:r>
              <w:rPr>
                <w:rFonts w:ascii="Arial" w:hAnsi="Arial"/>
                <w:sz w:val="18"/>
                <w:szCs w:val="18"/>
              </w:rPr>
              <w:t xml:space="preserve">Dato: </w:t>
            </w:r>
            <w:r w:rsidR="001D328B">
              <w:rPr>
                <w:rFonts w:ascii="Arial" w:hAnsi="Arial"/>
                <w:sz w:val="18"/>
                <w:szCs w:val="18"/>
              </w:rPr>
              <w:t>24.04.2023</w:t>
            </w:r>
          </w:p>
        </w:tc>
      </w:tr>
      <w:tr w:rsidR="00C75B1C" w14:paraId="7C88D94B" w14:textId="77777777">
        <w:tc>
          <w:tcPr>
            <w:tcW w:w="2516" w:type="dxa"/>
          </w:tcPr>
          <w:p w14:paraId="3CC21412" w14:textId="77777777" w:rsidR="00C75B1C" w:rsidRDefault="00C75B1C" w:rsidP="001D328B">
            <w:pPr>
              <w:framePr w:w="2730" w:h="154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Vår ref.: </w:t>
            </w:r>
            <w:bookmarkStart w:id="4" w:name="VAARREF"/>
            <w:bookmarkEnd w:id="4"/>
            <w:r w:rsidR="001D328B">
              <w:rPr>
                <w:rFonts w:ascii="Arial" w:hAnsi="Arial"/>
                <w:sz w:val="18"/>
                <w:szCs w:val="18"/>
              </w:rPr>
              <w:t>SVEPEDER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D328B">
              <w:rPr>
                <w:rFonts w:ascii="Arial" w:hAnsi="Arial"/>
                <w:sz w:val="18"/>
                <w:szCs w:val="18"/>
              </w:rPr>
              <w:t>23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1D328B">
              <w:rPr>
                <w:rFonts w:ascii="Arial" w:hAnsi="Arial"/>
                <w:sz w:val="18"/>
                <w:szCs w:val="18"/>
              </w:rPr>
              <w:t>2920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1D328B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C75B1C" w14:paraId="7C143D7E" w14:textId="77777777">
        <w:tc>
          <w:tcPr>
            <w:tcW w:w="2516" w:type="dxa"/>
          </w:tcPr>
          <w:p w14:paraId="2904FB86" w14:textId="77777777" w:rsidR="00C75B1C" w:rsidRDefault="00C75B1C" w:rsidP="001D328B">
            <w:pPr>
              <w:framePr w:w="2730" w:h="154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bookmarkStart w:id="5" w:name="DERESDATO"/>
            <w:bookmarkEnd w:id="5"/>
            <w:r>
              <w:rPr>
                <w:rFonts w:ascii="Arial" w:hAnsi="Arial"/>
                <w:sz w:val="18"/>
                <w:szCs w:val="18"/>
              </w:rPr>
              <w:t xml:space="preserve">Arkivkode: </w:t>
            </w:r>
          </w:p>
          <w:p w14:paraId="3F31FF19" w14:textId="77777777" w:rsidR="00C75B1C" w:rsidRDefault="00C75B1C" w:rsidP="001D328B">
            <w:pPr>
              <w:framePr w:w="2730" w:h="154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Løpenum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="001D328B">
              <w:rPr>
                <w:rFonts w:ascii="Arial" w:hAnsi="Arial"/>
                <w:sz w:val="18"/>
                <w:szCs w:val="18"/>
              </w:rPr>
              <w:t>23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="001D328B">
              <w:rPr>
                <w:rFonts w:ascii="Arial" w:hAnsi="Arial"/>
                <w:sz w:val="18"/>
                <w:szCs w:val="18"/>
              </w:rPr>
              <w:t>10434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C75B1C" w14:paraId="0ECF84F4" w14:textId="77777777">
        <w:tc>
          <w:tcPr>
            <w:tcW w:w="2516" w:type="dxa"/>
          </w:tcPr>
          <w:p w14:paraId="2F87FBB1" w14:textId="77777777" w:rsidR="00C75B1C" w:rsidRDefault="00C75B1C" w:rsidP="001D328B">
            <w:pPr>
              <w:framePr w:w="2730" w:h="1541" w:hSpace="142" w:wrap="around" w:vAnchor="page" w:hAnchor="page" w:x="8004" w:y="2593" w:anchorLock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Deres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ref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</w:tr>
    </w:tbl>
    <w:p w14:paraId="4A2C3B57" w14:textId="77777777" w:rsidR="00C75B1C" w:rsidRDefault="00C75B1C" w:rsidP="001D328B">
      <w:pPr>
        <w:framePr w:w="2730" w:h="1541" w:hSpace="142" w:wrap="around" w:vAnchor="page" w:hAnchor="page" w:x="8004" w:y="2593" w:anchorLock="1"/>
        <w:rPr>
          <w:rFonts w:ascii="Arial" w:hAnsi="Arial"/>
          <w:b/>
          <w:sz w:val="22"/>
          <w:szCs w:val="22"/>
        </w:rPr>
      </w:pPr>
    </w:p>
    <w:p w14:paraId="1DED4303" w14:textId="77777777" w:rsidR="00C75B1C" w:rsidRDefault="00C75B1C" w:rsidP="001D328B">
      <w:pPr>
        <w:framePr w:w="2730" w:h="1541" w:hSpace="142" w:wrap="around" w:vAnchor="page" w:hAnchor="page" w:x="8004" w:y="2593" w:anchorLock="1"/>
      </w:pPr>
    </w:p>
    <w:p w14:paraId="32308BBA" w14:textId="77777777" w:rsidR="00F36B90" w:rsidRDefault="00F36B90">
      <w:pPr>
        <w:pStyle w:val="Enkeltlinje"/>
        <w:rPr>
          <w:b/>
        </w:rPr>
      </w:pPr>
    </w:p>
    <w:p w14:paraId="0B6D3CE9" w14:textId="77777777" w:rsidR="00C21BE7" w:rsidRDefault="001D328B">
      <w:pPr>
        <w:pStyle w:val="Enkeltlinje"/>
      </w:pPr>
      <w:r>
        <w:rPr>
          <w:b/>
        </w:rPr>
        <w:t>FORSKRIFT OM FEIEGEBYR - HØRINGSBREV</w:t>
      </w:r>
      <w:r w:rsidR="00C21BE7">
        <w:rPr>
          <w:b/>
        </w:rPr>
        <w:br/>
      </w:r>
    </w:p>
    <w:p w14:paraId="59D85848" w14:textId="77777777" w:rsidR="001D328B" w:rsidRPr="001D328B" w:rsidRDefault="001D328B" w:rsidP="001D328B">
      <w:pPr>
        <w:pStyle w:val="Enkeltlinje"/>
      </w:pPr>
      <w:r w:rsidRPr="001D328B">
        <w:t xml:space="preserve">Kommunene plikter å gjennomføre tilsyn med og feiing av fyringsanlegg, og har etter brann- og eksplosjonsvernloven rett til å fastsette lokal forskrift om gebyr for gjennomføring av feiing og tilsyn. </w:t>
      </w:r>
    </w:p>
    <w:p w14:paraId="5BBFB8D7" w14:textId="77777777" w:rsidR="001D328B" w:rsidRPr="001D328B" w:rsidRDefault="001D328B" w:rsidP="001D328B">
      <w:pPr>
        <w:pStyle w:val="Enkeltlinje"/>
      </w:pPr>
      <w:r w:rsidRPr="001D328B">
        <w:t xml:space="preserve">I 2016 ble sentral forskrift om brannforebygging endret slik at det ikke lengre var anledning for kommunen å bestemme at enkelte eiendommer skulle være fritatt for feieplikt. Kommunen opphevet derfor sin lokale forskrift om feiing. </w:t>
      </w:r>
    </w:p>
    <w:p w14:paraId="65230584" w14:textId="77777777" w:rsidR="001D328B" w:rsidRPr="001D328B" w:rsidRDefault="001D328B" w:rsidP="001D328B">
      <w:pPr>
        <w:pStyle w:val="Enkeltlinje"/>
      </w:pPr>
      <w:r w:rsidRPr="001D328B">
        <w:t>Samtidig videreførte kommunen den lokale forskriftens bestemmelser om feiegebyr i kommunens gebyrregulativ</w:t>
      </w:r>
      <w:r w:rsidRPr="001D328B">
        <w:rPr>
          <w:vertAlign w:val="superscript"/>
        </w:rPr>
        <w:footnoteReference w:id="1"/>
      </w:r>
      <w:r w:rsidRPr="001D328B">
        <w:t>. Man vurderte at dette ga bedre oversikt og var en naturlig plassering av bestemmelsene om gebyr. Plasseringen av forskriften i gebyrregulativet er i tråd med forvaltningsloven § 38, tredje ledd. Det vises videre til veileder for forskriftsarbeid for kommuner</w:t>
      </w:r>
      <w:r w:rsidRPr="001D328B">
        <w:rPr>
          <w:vertAlign w:val="superscript"/>
        </w:rPr>
        <w:footnoteReference w:id="2"/>
      </w:r>
      <w:r w:rsidRPr="001D328B">
        <w:t xml:space="preserve"> og rundskriv G-1992-148 fra Justisdepartementet</w:t>
      </w:r>
      <w:r w:rsidRPr="001D328B">
        <w:rPr>
          <w:vertAlign w:val="superscript"/>
        </w:rPr>
        <w:footnoteReference w:id="3"/>
      </w:r>
      <w:r w:rsidRPr="001D328B">
        <w:t xml:space="preserve">. </w:t>
      </w:r>
    </w:p>
    <w:p w14:paraId="0B978AFF" w14:textId="77777777" w:rsidR="001D328B" w:rsidRPr="001D328B" w:rsidRDefault="001D328B" w:rsidP="001D328B">
      <w:pPr>
        <w:pStyle w:val="Enkeltlinje"/>
      </w:pPr>
      <w:r w:rsidRPr="001D328B">
        <w:t xml:space="preserve">Kommunen erfarer imidlertid at det søkes etter forskriften på lovdata.no, og ønsker derfor å vedta en forskrift som kunngjøres på tradisjonelt vis på dette nettstedet. Forskriften medfører ingen endringer i forhold til dagens nivå og innkreving av gebyret. </w:t>
      </w:r>
    </w:p>
    <w:p w14:paraId="4FBC1DA5" w14:textId="77777777" w:rsidR="001D328B" w:rsidRPr="001D328B" w:rsidRDefault="001D328B" w:rsidP="001D328B">
      <w:pPr>
        <w:pStyle w:val="Enkeltlinje"/>
      </w:pPr>
      <w:r w:rsidRPr="001D328B">
        <w:t xml:space="preserve">Forslaget innebærer ingen endring av tidspunkt for innkreving og av fordelingen av feiegebyret og innkrevingen videreføres som tidligere samtidig med de andre kommunale avgifter. </w:t>
      </w:r>
    </w:p>
    <w:p w14:paraId="7ECA27F1" w14:textId="77777777" w:rsidR="001D328B" w:rsidRPr="001D328B" w:rsidRDefault="001D328B" w:rsidP="001D328B">
      <w:pPr>
        <w:pStyle w:val="Enkeltlinje"/>
        <w:rPr>
          <w:b/>
          <w:bCs/>
        </w:rPr>
      </w:pPr>
      <w:r w:rsidRPr="001D328B">
        <w:rPr>
          <w:b/>
          <w:bCs/>
        </w:rPr>
        <w:t xml:space="preserve">Fakta </w:t>
      </w:r>
    </w:p>
    <w:p w14:paraId="2C6B430F" w14:textId="77777777" w:rsidR="001D328B" w:rsidRPr="001D328B" w:rsidRDefault="001D328B" w:rsidP="001D328B">
      <w:pPr>
        <w:pStyle w:val="Enkeltlinje"/>
      </w:pPr>
      <w:r w:rsidRPr="001D328B">
        <w:t xml:space="preserve">Forskrift om brannforebygging §17 pålegger kommunen å sørge for feiing av røykkanaler i fyringsanlegg som brukes til oppvarming av byggverk. Videre skal kommunen sørge for at det ved behov blir ført tilsyn med de samme fyringsanleggene. </w:t>
      </w:r>
    </w:p>
    <w:p w14:paraId="29F86FB1" w14:textId="77777777" w:rsidR="001D328B" w:rsidRPr="001D328B" w:rsidRDefault="001D328B" w:rsidP="001D328B">
      <w:pPr>
        <w:pStyle w:val="Enkeltlinje"/>
      </w:pPr>
    </w:p>
    <w:p w14:paraId="3AE19997" w14:textId="77777777" w:rsidR="001D328B" w:rsidRPr="001D328B" w:rsidRDefault="001D328B" w:rsidP="001D328B">
      <w:pPr>
        <w:pStyle w:val="Enkeltlinje"/>
      </w:pPr>
      <w:r w:rsidRPr="001D328B">
        <w:t xml:space="preserve">For dette kan kommunen med hjemmel i brann- og eksplosjonsvernloven § 28, andre ledd, kreve gebyr som dekker utgiftene med virksomheten. </w:t>
      </w:r>
    </w:p>
    <w:p w14:paraId="7BCE09D9" w14:textId="77777777" w:rsidR="001D328B" w:rsidRPr="001D328B" w:rsidRDefault="001D328B" w:rsidP="001D328B">
      <w:pPr>
        <w:pStyle w:val="Enkeltlinje"/>
      </w:pPr>
    </w:p>
    <w:p w14:paraId="2A5CBB6D" w14:textId="77777777" w:rsidR="001D328B" w:rsidRPr="001D328B" w:rsidRDefault="001D328B" w:rsidP="001D328B">
      <w:pPr>
        <w:pStyle w:val="Enkeltlinje"/>
      </w:pPr>
      <w:r w:rsidRPr="001D328B">
        <w:t xml:space="preserve">Feie - tilsynsgebyret innkreves årlig, beregnet med bakgrunn i selvkostprinsippet. Forskriften medfører ingen endring i gebyrets størrelse eller innretning. </w:t>
      </w:r>
    </w:p>
    <w:p w14:paraId="428F0629" w14:textId="77777777" w:rsidR="001D328B" w:rsidRPr="001D328B" w:rsidRDefault="001D328B" w:rsidP="001D328B">
      <w:pPr>
        <w:pStyle w:val="Enkeltlinje"/>
      </w:pPr>
    </w:p>
    <w:p w14:paraId="03EC2A44" w14:textId="77777777" w:rsidR="001D328B" w:rsidRPr="001D328B" w:rsidRDefault="001D328B" w:rsidP="001D328B">
      <w:pPr>
        <w:pStyle w:val="Enkeltlinje"/>
      </w:pPr>
      <w:r w:rsidRPr="001D328B">
        <w:t xml:space="preserve">Når det gjelder feiing og tilsyn med fritidsboliger, er dette betydelig mer resurskrevende. De vil derfor belastes med samme gebyr som boligeiendommer, selv om det i mange tilfeller vil ha en lengere intervall mellom tilsyn og/eller feiing. </w:t>
      </w:r>
    </w:p>
    <w:p w14:paraId="161E1E3D" w14:textId="77777777" w:rsidR="001D328B" w:rsidRPr="001D328B" w:rsidRDefault="001D328B" w:rsidP="001D328B">
      <w:pPr>
        <w:pStyle w:val="Enkeltlinje"/>
      </w:pPr>
    </w:p>
    <w:p w14:paraId="1C7AD218" w14:textId="77777777" w:rsidR="001D328B" w:rsidRPr="001D328B" w:rsidRDefault="001D328B" w:rsidP="001D328B">
      <w:pPr>
        <w:pStyle w:val="Enkeltlinje"/>
      </w:pPr>
      <w:r w:rsidRPr="001D328B">
        <w:t>Forskriften er likelydende i kommunene Lillehammer, Øyer og Gausdal, og forutsettes vedtatt samtidig i alle tre kommunene.</w:t>
      </w:r>
    </w:p>
    <w:p w14:paraId="2EDAA495" w14:textId="77777777" w:rsidR="001D328B" w:rsidRPr="001D328B" w:rsidRDefault="001D328B" w:rsidP="001D328B">
      <w:pPr>
        <w:pStyle w:val="Enkeltlinje"/>
      </w:pPr>
      <w:r w:rsidRPr="001D328B">
        <w:lastRenderedPageBreak/>
        <w:t xml:space="preserve">Forskriften medfører ikke økonomiske eller administrative kostnader utover det som allerede ligger i nåværende ordning. </w:t>
      </w:r>
    </w:p>
    <w:p w14:paraId="14E8B502" w14:textId="77777777" w:rsidR="001D328B" w:rsidRPr="001D328B" w:rsidRDefault="001D328B" w:rsidP="001D328B">
      <w:pPr>
        <w:pStyle w:val="Enkeltlinje"/>
      </w:pPr>
    </w:p>
    <w:p w14:paraId="223B6183" w14:textId="07E6695D" w:rsidR="001D328B" w:rsidRDefault="001D328B" w:rsidP="001D328B">
      <w:pPr>
        <w:pStyle w:val="Enkeltlinje"/>
      </w:pPr>
      <w:r w:rsidRPr="001D328B">
        <w:t xml:space="preserve">Utkast til forskrift sendes nå på </w:t>
      </w:r>
      <w:r>
        <w:t>offentlig høring.</w:t>
      </w:r>
    </w:p>
    <w:p w14:paraId="2D64D826" w14:textId="77777777" w:rsidR="001D328B" w:rsidRPr="001D328B" w:rsidRDefault="001D328B" w:rsidP="001D328B">
      <w:pPr>
        <w:pStyle w:val="Enkeltlinje"/>
      </w:pPr>
    </w:p>
    <w:p w14:paraId="5B18925D" w14:textId="6887C18B" w:rsidR="001D328B" w:rsidRPr="001D328B" w:rsidRDefault="001D328B" w:rsidP="001D328B">
      <w:pPr>
        <w:pStyle w:val="Enkeltlinje"/>
      </w:pPr>
      <w:r w:rsidRPr="001D328B">
        <w:t xml:space="preserve">Høringsinnspill bes sendt til kommunen ved </w:t>
      </w:r>
      <w:r>
        <w:t>Brannsjefen i Lillehammer region brannvesen</w:t>
      </w:r>
      <w:r w:rsidRPr="001D328B">
        <w:t xml:space="preserve">, </w:t>
      </w:r>
      <w:r>
        <w:t>Industrigata 33, 2619</w:t>
      </w:r>
      <w:r w:rsidRPr="001D328B">
        <w:t xml:space="preserve"> Lillehammer senest </w:t>
      </w:r>
      <w:r w:rsidRPr="001D328B">
        <w:rPr>
          <w:b/>
          <w:bCs/>
        </w:rPr>
        <w:t>31.05.2023.</w:t>
      </w:r>
      <w:r w:rsidRPr="001D328B">
        <w:t xml:space="preserve"> </w:t>
      </w:r>
    </w:p>
    <w:p w14:paraId="78C65E0E" w14:textId="77777777" w:rsidR="00C21BE7" w:rsidRDefault="00C21BE7">
      <w:pPr>
        <w:pStyle w:val="Enkeltlinje"/>
      </w:pPr>
    </w:p>
    <w:p w14:paraId="6D132DC1" w14:textId="77777777" w:rsidR="00C21BE7" w:rsidRDefault="00C21BE7">
      <w:pPr>
        <w:pStyle w:val="Enkeltlinje"/>
      </w:pPr>
    </w:p>
    <w:p w14:paraId="13CF29E5" w14:textId="77777777" w:rsidR="00C21BE7" w:rsidRDefault="00C21BE7">
      <w:pPr>
        <w:pStyle w:val="Enkeltlinje"/>
      </w:pPr>
    </w:p>
    <w:p w14:paraId="0D86F582" w14:textId="77777777" w:rsidR="00C21BE7" w:rsidRDefault="00C21BE7">
      <w:pPr>
        <w:pStyle w:val="Enkeltlinje"/>
      </w:pPr>
    </w:p>
    <w:p w14:paraId="0D85425D" w14:textId="77777777" w:rsidR="00C21BE7" w:rsidRDefault="00C21BE7">
      <w:pPr>
        <w:pStyle w:val="Enkeltlinje"/>
      </w:pPr>
      <w:r>
        <w:t>Med hilsen</w:t>
      </w:r>
    </w:p>
    <w:p w14:paraId="4C4F9DDC" w14:textId="468FF69D" w:rsidR="00C21BE7" w:rsidRDefault="001D328B">
      <w:pPr>
        <w:pStyle w:val="Enkeltlinje"/>
      </w:pPr>
      <w:r>
        <w:rPr>
          <w:noProof/>
        </w:rPr>
        <w:drawing>
          <wp:inline distT="0" distB="0" distL="0" distR="0" wp14:anchorId="1BF4C193" wp14:editId="5E9ADE77">
            <wp:extent cx="1075549" cy="2349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15" cy="2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7E3FB" w14:textId="77777777" w:rsidR="00C21BE7" w:rsidRDefault="001D328B">
      <w:pPr>
        <w:pStyle w:val="Enkeltlinje"/>
      </w:pPr>
      <w:r>
        <w:t>Svein Pedersen</w:t>
      </w:r>
      <w:r w:rsidR="00C21BE7">
        <w:br/>
      </w:r>
      <w:r>
        <w:t>Brannsjef</w:t>
      </w:r>
    </w:p>
    <w:p w14:paraId="1DA1CC9B" w14:textId="77777777" w:rsidR="00C21BE7" w:rsidRDefault="00C21BE7">
      <w:pPr>
        <w:pStyle w:val="Enkeltlinje"/>
      </w:pPr>
    </w:p>
    <w:p w14:paraId="63332787" w14:textId="77777777" w:rsidR="00C21BE7" w:rsidRDefault="00C21BE7">
      <w:pPr>
        <w:pStyle w:val="Enkeltlinje"/>
      </w:pPr>
      <w:r>
        <w:t xml:space="preserve">Kopi til: </w:t>
      </w:r>
    </w:p>
    <w:p w14:paraId="3C806259" w14:textId="77777777" w:rsidR="00C21BE7" w:rsidRDefault="00C21BE7">
      <w:pPr>
        <w:pStyle w:val="Enkeltlinje"/>
      </w:pPr>
    </w:p>
    <w:sectPr w:rsidR="00C21BE7" w:rsidSect="00F36B90">
      <w:headerReference w:type="default" r:id="rId7"/>
      <w:headerReference w:type="first" r:id="rId8"/>
      <w:footerReference w:type="first" r:id="rId9"/>
      <w:pgSz w:w="11907" w:h="16840" w:code="9"/>
      <w:pgMar w:top="1418" w:right="907" w:bottom="1418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4A31" w14:textId="77777777" w:rsidR="00120AAE" w:rsidRDefault="00120AAE">
      <w:r>
        <w:separator/>
      </w:r>
    </w:p>
  </w:endnote>
  <w:endnote w:type="continuationSeparator" w:id="0">
    <w:p w14:paraId="6756E1A5" w14:textId="77777777" w:rsidR="00120AAE" w:rsidRDefault="0012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64D9" w14:textId="77777777" w:rsidR="00C21BE7" w:rsidRDefault="00C21BE7">
    <w:pPr>
      <w:pStyle w:val="Bunntekst"/>
      <w:tabs>
        <w:tab w:val="clear" w:pos="4536"/>
        <w:tab w:val="clear" w:pos="9072"/>
        <w:tab w:val="left" w:pos="4962"/>
        <w:tab w:val="left" w:pos="7371"/>
        <w:tab w:val="right" w:pos="9498"/>
      </w:tabs>
      <w:rPr>
        <w:rFonts w:ascii="Arial" w:hAnsi="Arial"/>
        <w:sz w:val="16"/>
      </w:rPr>
    </w:pP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tab/>
    </w:r>
    <w:r>
      <w:rPr>
        <w:rFonts w:ascii="Arial" w:hAnsi="Arial"/>
        <w:b/>
        <w:sz w:val="20"/>
        <w:u w:val="single"/>
      </w:rPr>
      <w:br/>
    </w:r>
    <w:r>
      <w:rPr>
        <w:rFonts w:ascii="Arial" w:hAnsi="Arial"/>
        <w:b/>
        <w:sz w:val="20"/>
      </w:rPr>
      <w:t>LILLEHAMMER</w:t>
    </w:r>
    <w:r w:rsidR="00F36B90">
      <w:rPr>
        <w:rFonts w:ascii="Arial" w:hAnsi="Arial"/>
        <w:b/>
        <w:sz w:val="20"/>
      </w:rPr>
      <w:t xml:space="preserve"> REGION </w:t>
    </w:r>
    <w:r>
      <w:rPr>
        <w:rFonts w:ascii="Arial" w:hAnsi="Arial"/>
        <w:b/>
        <w:sz w:val="20"/>
      </w:rPr>
      <w:t>BRANNVESEN</w:t>
    </w:r>
    <w:r>
      <w:rPr>
        <w:rFonts w:ascii="Arial" w:hAnsi="Arial"/>
        <w:b/>
        <w:sz w:val="16"/>
      </w:rPr>
      <w:t xml:space="preserve"> -  </w:t>
    </w:r>
    <w:r>
      <w:rPr>
        <w:rFonts w:ascii="Arial" w:hAnsi="Arial"/>
        <w:b/>
        <w:sz w:val="18"/>
      </w:rPr>
      <w:t>Felles brannvesen for kommunene Lillehammer</w:t>
    </w:r>
    <w:r w:rsidR="00CE7EB2">
      <w:rPr>
        <w:rFonts w:ascii="Arial" w:hAnsi="Arial"/>
        <w:b/>
        <w:sz w:val="18"/>
      </w:rPr>
      <w:t>, Gausdal</w:t>
    </w:r>
    <w:r>
      <w:rPr>
        <w:rFonts w:ascii="Arial" w:hAnsi="Arial"/>
        <w:b/>
        <w:sz w:val="18"/>
      </w:rPr>
      <w:t xml:space="preserve"> og Øyer</w:t>
    </w:r>
    <w:r>
      <w:rPr>
        <w:rFonts w:ascii="Arial" w:hAnsi="Arial"/>
        <w:b/>
        <w:sz w:val="18"/>
      </w:rPr>
      <w:br/>
    </w:r>
    <w:r>
      <w:rPr>
        <w:rFonts w:ascii="Arial" w:hAnsi="Arial"/>
        <w:sz w:val="16"/>
      </w:rPr>
      <w:t>Brannvakt og konto</w:t>
    </w:r>
    <w:r w:rsidR="00CE7EB2">
      <w:rPr>
        <w:rFonts w:ascii="Arial" w:hAnsi="Arial"/>
        <w:sz w:val="16"/>
      </w:rPr>
      <w:t>radresse:  Lars Skrefsrudsgate 6</w:t>
    </w:r>
    <w:r w:rsidR="00F36B90">
      <w:rPr>
        <w:rFonts w:ascii="Arial" w:hAnsi="Arial"/>
        <w:sz w:val="16"/>
      </w:rPr>
      <w:tab/>
      <w:t>Telefon:  61 05 05</w:t>
    </w:r>
    <w:r>
      <w:rPr>
        <w:rFonts w:ascii="Arial" w:hAnsi="Arial"/>
        <w:sz w:val="16"/>
      </w:rPr>
      <w:t xml:space="preserve"> 00</w:t>
    </w:r>
    <w:r>
      <w:rPr>
        <w:rFonts w:ascii="Arial" w:hAnsi="Arial"/>
        <w:sz w:val="16"/>
      </w:rPr>
      <w:tab/>
      <w:t xml:space="preserve"> Bankgiro </w:t>
    </w:r>
    <w:proofErr w:type="spellStart"/>
    <w:r>
      <w:rPr>
        <w:rFonts w:ascii="Arial" w:hAnsi="Arial"/>
        <w:sz w:val="16"/>
      </w:rPr>
      <w:t>nr</w:t>
    </w:r>
    <w:proofErr w:type="spellEnd"/>
    <w:r>
      <w:rPr>
        <w:rFonts w:ascii="Arial" w:hAnsi="Arial"/>
        <w:sz w:val="16"/>
      </w:rPr>
      <w:t xml:space="preserve"> : 6188 0</w:t>
    </w:r>
    <w:r w:rsidR="002F5E29">
      <w:rPr>
        <w:rFonts w:ascii="Arial" w:hAnsi="Arial"/>
        <w:sz w:val="16"/>
      </w:rPr>
      <w:t>5 44100</w:t>
    </w:r>
    <w:r w:rsidR="002F5E29">
      <w:rPr>
        <w:rFonts w:ascii="Arial" w:hAnsi="Arial"/>
        <w:sz w:val="16"/>
      </w:rPr>
      <w:br/>
      <w:t>Postadresse: postboks 986</w:t>
    </w:r>
    <w:r>
      <w:rPr>
        <w:rFonts w:ascii="Arial" w:hAnsi="Arial"/>
        <w:sz w:val="16"/>
      </w:rPr>
      <w:t>, 2626 Lillehammer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Telefax</w:t>
    </w:r>
    <w:proofErr w:type="spellEnd"/>
    <w:r>
      <w:rPr>
        <w:rFonts w:ascii="Arial" w:hAnsi="Arial"/>
        <w:sz w:val="16"/>
      </w:rPr>
      <w:t xml:space="preserve"> : 61 </w:t>
    </w:r>
    <w:r w:rsidR="00CE7EB2">
      <w:rPr>
        <w:rFonts w:ascii="Arial" w:hAnsi="Arial"/>
        <w:sz w:val="16"/>
      </w:rPr>
      <w:t>25 88 13</w:t>
    </w:r>
    <w:r>
      <w:rPr>
        <w:rFonts w:ascii="Arial" w:hAnsi="Arial"/>
        <w:sz w:val="16"/>
      </w:rPr>
      <w:tab/>
      <w:t xml:space="preserve"> </w:t>
    </w:r>
    <w:r>
      <w:rPr>
        <w:rFonts w:ascii="Arial" w:hAnsi="Arial"/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D749" w14:textId="77777777" w:rsidR="00120AAE" w:rsidRDefault="00120AAE">
      <w:r>
        <w:separator/>
      </w:r>
    </w:p>
  </w:footnote>
  <w:footnote w:type="continuationSeparator" w:id="0">
    <w:p w14:paraId="62FD2849" w14:textId="77777777" w:rsidR="00120AAE" w:rsidRDefault="00120AAE">
      <w:r>
        <w:continuationSeparator/>
      </w:r>
    </w:p>
  </w:footnote>
  <w:footnote w:id="1">
    <w:p w14:paraId="58B3E754" w14:textId="77777777" w:rsidR="001D328B" w:rsidRDefault="001D328B" w:rsidP="001D328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31314">
        <w:t>https://pub.framsikt.net/2023/lillehammer/bm-2023-styringsdokument_2023-2026_kommunestyrets_vedtak/#/generic/summary/1803fe24-4bbb-4672-88a8-58228e7d9bfe-cn</w:t>
      </w:r>
    </w:p>
  </w:footnote>
  <w:footnote w:id="2">
    <w:p w14:paraId="08BE70CA" w14:textId="77777777" w:rsidR="001D328B" w:rsidRDefault="001D328B" w:rsidP="001D328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45B91">
        <w:t>https://www.regjeringen.no/no/dokumenter/forskriftsarbeid-for-kommuner/id278722/</w:t>
      </w:r>
    </w:p>
  </w:footnote>
  <w:footnote w:id="3">
    <w:p w14:paraId="0CF99EBF" w14:textId="77777777" w:rsidR="001D328B" w:rsidRDefault="001D328B" w:rsidP="001D328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C744E">
        <w:t>https://lovdata.no/rundskriv/g-1992-148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TEKST"/>
  <w:bookmarkEnd w:id="6"/>
  <w:p w14:paraId="361B8A9C" w14:textId="77777777" w:rsidR="00C21BE7" w:rsidRDefault="00C21BE7">
    <w:pPr>
      <w:pStyle w:val="Topp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CE7EB2">
      <w:rPr>
        <w:rStyle w:val="Sidetall"/>
        <w:noProof/>
      </w:rPr>
      <w:t>2</w:t>
    </w:r>
    <w:r>
      <w:rPr>
        <w:rStyle w:val="Sidetal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AA54" w14:textId="77777777" w:rsidR="00CE7EB2" w:rsidRDefault="005158B5">
    <w:pPr>
      <w:pStyle w:val="Topptekst"/>
    </w:pPr>
    <w:r w:rsidRPr="00CE7EB2">
      <w:rPr>
        <w:noProof/>
      </w:rPr>
      <w:drawing>
        <wp:inline distT="0" distB="0" distL="0" distR="0" wp14:anchorId="1C2191F7" wp14:editId="4EE96781">
          <wp:extent cx="828675" cy="8286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82923" w14:textId="77777777" w:rsidR="00CE7EB2" w:rsidRPr="00CE7EB2" w:rsidRDefault="00CE7EB2">
    <w:pPr>
      <w:rPr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1C"/>
    <w:rsid w:val="00070705"/>
    <w:rsid w:val="000A29C8"/>
    <w:rsid w:val="00120AAE"/>
    <w:rsid w:val="001D328B"/>
    <w:rsid w:val="002065F9"/>
    <w:rsid w:val="002F5E29"/>
    <w:rsid w:val="005158B5"/>
    <w:rsid w:val="00BF20A2"/>
    <w:rsid w:val="00C21BE7"/>
    <w:rsid w:val="00C5423A"/>
    <w:rsid w:val="00C75B1C"/>
    <w:rsid w:val="00CE7EB2"/>
    <w:rsid w:val="00F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48EAD"/>
  <w15:chartTrackingRefBased/>
  <w15:docId w15:val="{66E1A8ED-070E-4E87-B298-A58F00BC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framePr w:hSpace="142" w:wrap="around" w:vAnchor="page" w:hAnchor="page" w:xAlign="center" w:y="1362"/>
      <w:jc w:val="center"/>
      <w:outlineLvl w:val="0"/>
    </w:pPr>
    <w:rPr>
      <w:rFonts w:ascii="Albertus Extra Bold" w:hAnsi="Albertus Extra Bold"/>
      <w:b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Fotnotetekst">
    <w:name w:val="footnote text"/>
    <w:basedOn w:val="Normal"/>
    <w:link w:val="FotnotetekstTegn"/>
    <w:uiPriority w:val="99"/>
    <w:unhideWhenUsed/>
    <w:rsid w:val="001D328B"/>
    <w:pPr>
      <w:widowControl w:val="0"/>
      <w:autoSpaceDE w:val="0"/>
      <w:autoSpaceDN w:val="0"/>
    </w:pPr>
    <w:rPr>
      <w:rFonts w:ascii="Calibri" w:hAnsi="Calibri" w:cs="Calibri"/>
      <w:sz w:val="20"/>
      <w:lang w:val="en-US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1D328B"/>
    <w:rPr>
      <w:rFonts w:ascii="Calibri" w:hAnsi="Calibri" w:cs="Calibri"/>
      <w:lang w:val="en-US" w:eastAsia="en-US"/>
    </w:rPr>
  </w:style>
  <w:style w:type="character" w:styleId="Fotnotereferanse">
    <w:name w:val="footnote reference"/>
    <w:basedOn w:val="Standardskriftforavsnitt"/>
    <w:uiPriority w:val="99"/>
    <w:unhideWhenUsed/>
    <w:rsid w:val="001D32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Lillehammer Kommune</vt:lpstr>
    </vt:vector>
  </TitlesOfParts>
  <Company> 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Lillehammer Kommune</dc:title>
  <dc:subject/>
  <dc:creator>IBM</dc:creator>
  <cp:keywords/>
  <cp:lastModifiedBy>Svein Pedersen</cp:lastModifiedBy>
  <cp:revision>2</cp:revision>
  <cp:lastPrinted>1998-07-31T11:42:00Z</cp:lastPrinted>
  <dcterms:created xsi:type="dcterms:W3CDTF">2023-04-24T14:21:00Z</dcterms:created>
  <dcterms:modified xsi:type="dcterms:W3CDTF">2023-04-24T14:21:00Z</dcterms:modified>
</cp:coreProperties>
</file>